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90-Day Check-In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job on a scale from 1 (Not at all) to 10 (Really satisfied)?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90 DAY REVIEW: POSITIVES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has your start been overall so far?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have you enjoyed most so far?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should we keep doing?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90 DAY REVIEW: TO IMPROVE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we improve the experience of the first 90 days for new hires?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which areas are you still unclear?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90 DAY REVIEW: REFLECTING STATUS QUO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happy are you with your performance so far? Why?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confident are you that you will reach your current goals? Why?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feel about your integration into the team?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rtl w:val="0"/>
        </w:rPr>
        <w:t xml:space="preserve">What skills or resources could help you move forward?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can I do to continue supporting you?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 appreciate your willingness to help us improve our processes.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we ask in such 90-Day Check-Ins?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